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1F207FB4" w14:textId="0035095B" w:rsidR="003612A4" w:rsidRDefault="003612A4" w:rsidP="003612A4">
      <w:pPr>
        <w:pStyle w:val="Standard"/>
        <w:rPr>
          <w:b/>
          <w:bCs/>
        </w:rPr>
      </w:pPr>
      <w:r>
        <w:rPr>
          <w:b/>
          <w:bCs/>
        </w:rPr>
        <w:t xml:space="preserve">No existen informes de fiscalización por parte de Órganos de control Externos (Ayuntamiento, Gobierno Autónomo, Estado) </w:t>
      </w: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8389" w14:textId="77777777" w:rsidR="00D01F72" w:rsidRDefault="00D01F72" w:rsidP="0081177C">
      <w:r>
        <w:separator/>
      </w:r>
    </w:p>
  </w:endnote>
  <w:endnote w:type="continuationSeparator" w:id="0">
    <w:p w14:paraId="388D5179" w14:textId="77777777" w:rsidR="00D01F72" w:rsidRDefault="00D01F72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F595" w14:textId="77777777" w:rsidR="00D01F72" w:rsidRDefault="00D01F72" w:rsidP="0081177C">
      <w:r>
        <w:separator/>
      </w:r>
    </w:p>
  </w:footnote>
  <w:footnote w:type="continuationSeparator" w:id="0">
    <w:p w14:paraId="260C1C72" w14:textId="77777777" w:rsidR="00D01F72" w:rsidRDefault="00D01F72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612A4"/>
    <w:rsid w:val="00373C7B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7E0B71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01F72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12</cp:revision>
  <cp:lastPrinted>2022-07-29T10:58:00Z</cp:lastPrinted>
  <dcterms:created xsi:type="dcterms:W3CDTF">2022-07-20T08:01:00Z</dcterms:created>
  <dcterms:modified xsi:type="dcterms:W3CDTF">2022-10-19T11:59:00Z</dcterms:modified>
</cp:coreProperties>
</file>