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sz w:val="21"/>
          <w:szCs w:val="21"/>
          <w:highlight w:val="white"/>
          <w:rtl w:val="0"/>
        </w:rPr>
        <w:t xml:space="preserve"> No están aprobadas en esta Sociedad las aportaciones a planes de pensiones o cualquier sistema de previsión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