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Esta sociedad no cuenta con liberados sindicales por no cumplir con los requisitos marcados por la Ley para 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