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color w:val="44444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u w:val="single"/>
          <w:rtl w:val="0"/>
        </w:rPr>
        <w:t xml:space="preserve">RELACIÓN DE PUESTOS DE TRABAJO DURANTE EL AÑO 2020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PUESTO:</w:t>
        <w:tab/>
        <w:tab/>
        <w:t xml:space="preserve">GERENTE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NOMBRE:</w:t>
        <w:tab/>
        <w:tab/>
        <w:t xml:space="preserve">D. Luis Rodríguez Neyra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DEPENDENCIA:</w:t>
        <w:tab/>
        <w:t xml:space="preserve">CONSEJO DE ADMINISTRACIÓN DE LA SOCIEDAD.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REMUNERACIÓN BRUTA ANUAL SIN SEGURIDAD SOCIAL: 60.000€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FIJO:</w:t>
        <w:tab/>
        <w:tab/>
        <w:tab/>
        <w:t xml:space="preserve">52.450,00.-€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VARIABLE:</w:t>
        <w:tab/>
        <w:tab/>
        <w:t xml:space="preserve">5.750,00.-€ SEGÚN CUMPLIMIENTO OBJETIVOS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TIPO DE VINCULACIÓN LABORAL:</w:t>
        <w:tab/>
        <w:t xml:space="preserve">CONTRATO LABORAL DE ALTA DIRECCIÓN DE CARÁCTER INDEFINIDO.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